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0D" w:rsidRDefault="00B4520D" w:rsidP="00B4520D">
      <w:pPr>
        <w:pStyle w:val="1"/>
      </w:pPr>
      <w:r>
        <w:t>Прик</w:t>
      </w:r>
      <w:bookmarkStart w:id="0" w:name="_GoBack"/>
      <w:bookmarkEnd w:id="0"/>
      <w:r>
        <w:t>аз Минтранса РФ от 11.01.2012 N 2 "Об утверждении видов железнодорожных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ГЛОНАСС/GPS"</w:t>
      </w:r>
    </w:p>
    <w:p w:rsidR="00B4520D" w:rsidRDefault="00B4520D" w:rsidP="00B4520D">
      <w:pPr>
        <w:pStyle w:val="2"/>
      </w:pPr>
      <w:r>
        <w:t>Приказ Министерства транспорта Российской Федерации от 11 января 2012 г. № 2 “Об утверждении видов железнодорожных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ГЛОНАСС/GPS”</w:t>
      </w:r>
    </w:p>
    <w:p w:rsidR="00B4520D" w:rsidRDefault="00B4520D" w:rsidP="00B4520D">
      <w:pPr>
        <w:pStyle w:val="a3"/>
      </w:pPr>
      <w:r>
        <w:t>Во исполнение постановления Правительства Российской Федерации от 25 августа 2008 г. № 641 «Об оснащении транспортных, технических средств и систем аппаратурой спутниковой навигации ГЛОНАСС или ГЛОНАСС/GPS» (Собрание законодательства Российской Федерации, 2008, № 35, ст. 4037, 2010, № 52, ст. 7104) и в целях повышения безопасности и эффективности перевозки железнодорожным транспортом пассажиров и опасных грузов приказываю:</w:t>
      </w:r>
      <w:r>
        <w:br/>
      </w:r>
      <w:r>
        <w:br/>
        <w:t>1. Утвердить прилагаемые виды железнодорожных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ГЛОНАСС/GPS.</w:t>
      </w:r>
      <w:r>
        <w:br/>
      </w:r>
      <w:r>
        <w:br/>
        <w:t>2. Установить, что настоящий приказ вступает в силу по истечении 12 месяцев со дня его официального опубликования.</w:t>
      </w:r>
      <w:r>
        <w:br/>
      </w:r>
      <w:r>
        <w:br/>
        <w:t xml:space="preserve">Министр И.Е. Левитин </w:t>
      </w:r>
      <w:r>
        <w:br/>
      </w:r>
      <w:r>
        <w:br/>
        <w:t>Зарегистрировано в Минюсте РФ 12 апреля 2012 г.</w:t>
      </w:r>
      <w:r>
        <w:br/>
        <w:t>Регистрационный № 23809</w:t>
      </w:r>
    </w:p>
    <w:p w:rsidR="00B4520D" w:rsidRDefault="00B4520D" w:rsidP="00B4520D">
      <w:pPr>
        <w:pStyle w:val="2"/>
      </w:pPr>
      <w:r>
        <w:t>Виды железнодорожных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</w:t>
      </w:r>
    </w:p>
    <w:p w:rsidR="00B4520D" w:rsidRDefault="00B4520D" w:rsidP="00B4520D">
      <w:pPr>
        <w:pStyle w:val="a3"/>
      </w:pPr>
      <w:r>
        <w:lastRenderedPageBreak/>
        <w:t>1. Головные вагоны мотор-вагонного подвижного состава.</w:t>
      </w:r>
      <w:r>
        <w:br/>
      </w:r>
      <w:r>
        <w:br/>
        <w:t>2. Пассажирские штабные вагоны.</w:t>
      </w:r>
      <w:r>
        <w:br/>
      </w:r>
      <w:r>
        <w:br/>
        <w:t>3. Вагоны, используемые для перевозки специальных грузов.</w:t>
      </w:r>
      <w:r>
        <w:br/>
      </w:r>
      <w:r>
        <w:br/>
        <w:t>4. Тяговый железнодорожный подвижной состав, эксплуатируемый на железнодорожных путях общего пользования.</w:t>
      </w:r>
      <w:r>
        <w:br/>
      </w:r>
      <w:r>
        <w:br/>
        <w:t>5. Вагоны-цистерны, используемые для перевозки хлора и аммиака.</w:t>
      </w:r>
    </w:p>
    <w:p w:rsidR="00564EDF" w:rsidRDefault="00B4520D" w:rsidP="00B4520D">
      <w:proofErr w:type="spellStart"/>
      <w:r>
        <w:t>дной</w:t>
      </w:r>
      <w:proofErr w:type="spellEnd"/>
      <w:r>
        <w:t xml:space="preserve"> дорожной перевозке опасных грузов" (Собрание актов Президента и Правительства Российской Федерации, 1994, N 7, ст. 508).</w:t>
      </w:r>
    </w:p>
    <w:sectPr w:rsidR="005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B"/>
    <w:rsid w:val="00564EDF"/>
    <w:rsid w:val="00B4520D"/>
    <w:rsid w:val="00E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D880-B755-4987-B635-C6DC96D2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Avtonavix</dc:creator>
  <cp:keywords/>
  <dc:description/>
  <cp:lastModifiedBy>Avtonavix</cp:lastModifiedBy>
  <cp:revision>3</cp:revision>
  <dcterms:created xsi:type="dcterms:W3CDTF">2018-08-09T04:51:00Z</dcterms:created>
  <dcterms:modified xsi:type="dcterms:W3CDTF">2018-08-09T04:51:00Z</dcterms:modified>
</cp:coreProperties>
</file>